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B82B" w14:textId="038B5243" w:rsidR="00355D24" w:rsidRPr="00CB25E8" w:rsidRDefault="00355D24" w:rsidP="00355D24">
      <w:pPr>
        <w:pStyle w:val="Legenda"/>
        <w:keepNext/>
        <w:spacing w:before="240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CB25E8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Tabela </w:t>
      </w:r>
      <w:r w:rsidR="00BC1EAB" w:rsidRPr="00CB25E8">
        <w:rPr>
          <w:rFonts w:ascii="Arial" w:hAnsi="Arial" w:cs="Arial"/>
          <w:b/>
          <w:bCs/>
          <w:i w:val="0"/>
          <w:color w:val="auto"/>
          <w:sz w:val="24"/>
          <w:szCs w:val="24"/>
        </w:rPr>
        <w:t>1</w:t>
      </w:r>
      <w:r w:rsidRPr="00CB25E8">
        <w:rPr>
          <w:rFonts w:ascii="Arial" w:hAnsi="Arial" w:cs="Arial"/>
          <w:b/>
          <w:bCs/>
          <w:i w:val="0"/>
          <w:color w:val="auto"/>
          <w:sz w:val="24"/>
          <w:szCs w:val="24"/>
        </w:rPr>
        <w:t>. Kryteria formalne specyficzne</w:t>
      </w:r>
      <w:r w:rsidR="00473EAC" w:rsidRPr="00CB25E8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 0/1</w:t>
      </w:r>
    </w:p>
    <w:tbl>
      <w:tblPr>
        <w:tblStyle w:val="Tabela-Siatka"/>
        <w:tblpPr w:leftFromText="141" w:rightFromText="141" w:vertAnchor="text" w:tblpY="1"/>
        <w:tblOverlap w:val="never"/>
        <w:tblW w:w="13887" w:type="dxa"/>
        <w:tblLook w:val="04A0" w:firstRow="1" w:lastRow="0" w:firstColumn="1" w:lastColumn="0" w:noHBand="0" w:noVBand="1"/>
        <w:tblCaption w:val="Tabela 2. Kryteria formalne specyficzne"/>
      </w:tblPr>
      <w:tblGrid>
        <w:gridCol w:w="998"/>
        <w:gridCol w:w="3392"/>
        <w:gridCol w:w="9497"/>
      </w:tblGrid>
      <w:tr w:rsidR="00CB25E8" w:rsidRPr="00CB25E8" w14:paraId="17914557" w14:textId="77777777" w:rsidTr="0337E22D">
        <w:trPr>
          <w:trHeight w:val="554"/>
          <w:tblHeader/>
        </w:trPr>
        <w:tc>
          <w:tcPr>
            <w:tcW w:w="998" w:type="dxa"/>
            <w:shd w:val="clear" w:color="auto" w:fill="BFBFBF" w:themeFill="background1" w:themeFillShade="BF"/>
            <w:vAlign w:val="center"/>
          </w:tcPr>
          <w:p w14:paraId="1EA4E93A" w14:textId="77777777" w:rsidR="00BC0058" w:rsidRPr="00CB25E8" w:rsidRDefault="00BC0058" w:rsidP="00BC0058">
            <w:pPr>
              <w:pStyle w:val="Akapitzlist"/>
              <w:ind w:left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25E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92" w:type="dxa"/>
            <w:shd w:val="clear" w:color="auto" w:fill="BFBFBF" w:themeFill="background1" w:themeFillShade="BF"/>
            <w:vAlign w:val="center"/>
          </w:tcPr>
          <w:p w14:paraId="1BE7010F" w14:textId="77777777" w:rsidR="00BC0058" w:rsidRPr="00CB25E8" w:rsidRDefault="00BC0058" w:rsidP="00BC0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25E8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9497" w:type="dxa"/>
            <w:shd w:val="clear" w:color="auto" w:fill="BFBFBF" w:themeFill="background1" w:themeFillShade="BF"/>
            <w:vAlign w:val="center"/>
          </w:tcPr>
          <w:p w14:paraId="1165499C" w14:textId="77777777" w:rsidR="00BC0058" w:rsidRPr="00CB25E8" w:rsidRDefault="00BC0058" w:rsidP="00BC00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25E8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</w:p>
        </w:tc>
      </w:tr>
      <w:tr w:rsidR="00CB25E8" w:rsidRPr="00CB25E8" w14:paraId="56994A76" w14:textId="77777777" w:rsidTr="0337E22D">
        <w:trPr>
          <w:tblHeader/>
        </w:trPr>
        <w:tc>
          <w:tcPr>
            <w:tcW w:w="998" w:type="dxa"/>
          </w:tcPr>
          <w:p w14:paraId="672A6659" w14:textId="64E38989" w:rsidR="00F90F87" w:rsidRPr="00CB25E8" w:rsidRDefault="00F90F87" w:rsidP="00F90F87">
            <w:pPr>
              <w:spacing w:after="0"/>
              <w:ind w:left="284"/>
              <w:rPr>
                <w:rFonts w:ascii="Arial" w:hAnsi="Arial" w:cs="Arial"/>
                <w:sz w:val="24"/>
                <w:szCs w:val="24"/>
              </w:rPr>
            </w:pPr>
            <w:r w:rsidRPr="00CB25E8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392" w:type="dxa"/>
          </w:tcPr>
          <w:p w14:paraId="18ED2CED" w14:textId="3B0F1843" w:rsidR="00F90F87" w:rsidRPr="00CB25E8" w:rsidRDefault="00F90F87" w:rsidP="00F90F87">
            <w:pPr>
              <w:rPr>
                <w:rFonts w:ascii="Arial" w:hAnsi="Arial" w:cs="Arial"/>
                <w:sz w:val="24"/>
                <w:szCs w:val="24"/>
              </w:rPr>
            </w:pPr>
            <w:r w:rsidRPr="00CB25E8">
              <w:rPr>
                <w:rFonts w:ascii="Arial" w:hAnsi="Arial" w:cs="Arial"/>
                <w:sz w:val="24"/>
                <w:szCs w:val="24"/>
              </w:rPr>
              <w:t>Zgodność wydatków inwestycyjnych z limitami wynikającymi z linii demarkacyjnej pomiędzy programami regionalnymi a krajowymi.</w:t>
            </w:r>
          </w:p>
        </w:tc>
        <w:tc>
          <w:tcPr>
            <w:tcW w:w="9497" w:type="dxa"/>
          </w:tcPr>
          <w:p w14:paraId="4435DDBA" w14:textId="77777777" w:rsidR="00F90F87" w:rsidRPr="009D4980" w:rsidRDefault="00F90F87" w:rsidP="00F90F87">
            <w:pPr>
              <w:rPr>
                <w:rFonts w:ascii="Arial" w:hAnsi="Arial" w:cs="Arial"/>
                <w:sz w:val="24"/>
                <w:szCs w:val="24"/>
              </w:rPr>
            </w:pPr>
            <w:r w:rsidRPr="009D4980">
              <w:rPr>
                <w:rFonts w:ascii="Arial" w:hAnsi="Arial" w:cs="Arial"/>
                <w:sz w:val="24"/>
                <w:szCs w:val="24"/>
              </w:rPr>
              <w:t>Kryterium ocenimy na podstawie pola B.7.Kryteria wyboru, E.3 Budżet projektu oraz E.4.3. PODSUMOWANIE BUDŻETU.</w:t>
            </w:r>
          </w:p>
          <w:p w14:paraId="5ED23E17" w14:textId="3A837FCC" w:rsidR="00F90F87" w:rsidRPr="009D4980" w:rsidRDefault="00F90F87" w:rsidP="00F90F87">
            <w:pPr>
              <w:rPr>
                <w:rFonts w:ascii="Arial" w:hAnsi="Arial" w:cs="Arial"/>
                <w:sz w:val="24"/>
                <w:szCs w:val="24"/>
              </w:rPr>
            </w:pPr>
            <w:r w:rsidRPr="009D4980">
              <w:rPr>
                <w:rFonts w:ascii="Arial" w:hAnsi="Arial" w:cs="Arial"/>
                <w:sz w:val="24"/>
                <w:szCs w:val="24"/>
              </w:rPr>
              <w:t>W kryterium badane będzie czy wartość wydatków kwalifikowalnych nie będzie przekraczać 2 mln kosztów kwalifikowalnych lub czy liczba mieszkańców obsługiwanych przez PSZOK nie będzie przekraczać 20 tyś.</w:t>
            </w:r>
          </w:p>
        </w:tc>
      </w:tr>
      <w:tr w:rsidR="00D504C4" w:rsidRPr="00D504C4" w14:paraId="368333DA" w14:textId="77777777" w:rsidTr="0337E22D">
        <w:trPr>
          <w:trHeight w:val="300"/>
        </w:trPr>
        <w:tc>
          <w:tcPr>
            <w:tcW w:w="998" w:type="dxa"/>
            <w:hideMark/>
          </w:tcPr>
          <w:p w14:paraId="6E7BEAA2" w14:textId="58A0705D" w:rsidR="00BC0058" w:rsidRPr="00D504C4" w:rsidRDefault="00F56502" w:rsidP="00F56502">
            <w:p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04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2. </w:t>
            </w:r>
            <w:r w:rsidR="00BC0058" w:rsidRPr="00D504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392" w:type="dxa"/>
            <w:hideMark/>
          </w:tcPr>
          <w:p w14:paraId="6ED8D2CA" w14:textId="2079F078" w:rsidR="00BC0058" w:rsidRPr="00D504C4" w:rsidRDefault="00D504C4" w:rsidP="00A44D51">
            <w:pPr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pl-PL"/>
              </w:rPr>
            </w:pPr>
            <w:r w:rsidRPr="00D504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Wpływ projektu na zwiększenie świadomości społecznej w zakresie zapobiegania powstawaniu odpadów a także zasad ich segregacji, które zwiększą świadomość w zakresie zrównoważonej konsumpcji i przyczynią się do zmniejszenia ubóstwa.</w:t>
            </w:r>
          </w:p>
        </w:tc>
        <w:tc>
          <w:tcPr>
            <w:tcW w:w="9497" w:type="dxa"/>
          </w:tcPr>
          <w:p w14:paraId="48AE610D" w14:textId="2105C677" w:rsidR="00BC0058" w:rsidRPr="009D4980" w:rsidRDefault="00BC0058" w:rsidP="62EBF8E0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ocenimy </w:t>
            </w:r>
            <w:r w:rsidR="000A55E3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m.in. </w:t>
            </w:r>
            <w:r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r w:rsidR="000A55E3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 pola</w:t>
            </w:r>
            <w:r w:rsidR="00445D84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B.7 Kryteria wyboru</w:t>
            </w:r>
            <w:r w:rsidR="04E4D7FF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E.</w:t>
            </w:r>
            <w:r w:rsidR="3FD95C69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 ZADANIA W PROJEKCIE</w:t>
            </w:r>
            <w:r w:rsidR="0040512E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="0040512E" w:rsidRPr="009D4980">
              <w:rPr>
                <w:rFonts w:ascii="Arial" w:hAnsi="Arial" w:cs="Arial"/>
                <w:sz w:val="24"/>
                <w:szCs w:val="24"/>
              </w:rPr>
              <w:t xml:space="preserve"> E.3 Budżet projektu </w:t>
            </w:r>
            <w:r w:rsidR="586F6247" w:rsidRPr="009D49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 pola E.4.3. PODSUMOWANIE BUDŻETU</w:t>
            </w:r>
          </w:p>
          <w:p w14:paraId="43C0F1FD" w14:textId="34BC41CA" w:rsidR="00BC0058" w:rsidRPr="009D4980" w:rsidRDefault="003A50D1" w:rsidP="62EBF8E0">
            <w:pPr>
              <w:rPr>
                <w:rFonts w:ascii="Arial" w:hAnsi="Arial" w:cs="Arial"/>
                <w:sz w:val="24"/>
                <w:szCs w:val="24"/>
              </w:rPr>
            </w:pPr>
            <w:r w:rsidRPr="009D4980">
              <w:rPr>
                <w:rFonts w:ascii="Arial" w:hAnsi="Arial" w:cs="Arial"/>
                <w:sz w:val="24"/>
                <w:szCs w:val="24"/>
              </w:rPr>
              <w:t>Uwaga</w:t>
            </w:r>
            <w:r w:rsidR="00BC0058" w:rsidRPr="009D4980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4ED84515" w14:textId="0234B589" w:rsidR="00BC0058" w:rsidRPr="009D4980" w:rsidRDefault="00BC0058" w:rsidP="00BC0058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D4980">
              <w:rPr>
                <w:rFonts w:ascii="Arial" w:hAnsi="Arial" w:cs="Arial"/>
                <w:sz w:val="24"/>
                <w:szCs w:val="24"/>
              </w:rPr>
              <w:t>W działaniu 2.1</w:t>
            </w:r>
            <w:r w:rsidR="00435A30" w:rsidRPr="009D4980">
              <w:rPr>
                <w:rFonts w:ascii="Arial" w:hAnsi="Arial" w:cs="Arial"/>
                <w:sz w:val="24"/>
                <w:szCs w:val="24"/>
              </w:rPr>
              <w:t>2</w:t>
            </w:r>
            <w:r w:rsidRPr="009D4980">
              <w:rPr>
                <w:rFonts w:ascii="Arial" w:hAnsi="Arial" w:cs="Arial"/>
                <w:sz w:val="24"/>
                <w:szCs w:val="24"/>
              </w:rPr>
              <w:t>. kampania informacyjno-edukacyjna jest obowiązkowa!</w:t>
            </w:r>
          </w:p>
        </w:tc>
      </w:tr>
    </w:tbl>
    <w:p w14:paraId="2D153E00" w14:textId="3D5382E9" w:rsidR="00BC1EAB" w:rsidRPr="006E61BD" w:rsidRDefault="00BC1EAB" w:rsidP="00BC1EAB">
      <w:pPr>
        <w:pStyle w:val="Legenda"/>
        <w:keepNext/>
        <w:spacing w:before="240"/>
        <w:rPr>
          <w:rFonts w:ascii="Arial" w:hAnsi="Arial" w:cs="Arial"/>
          <w:b/>
          <w:bCs/>
          <w:i w:val="0"/>
          <w:color w:val="0070C0"/>
          <w:sz w:val="24"/>
          <w:szCs w:val="24"/>
        </w:rPr>
      </w:pPr>
    </w:p>
    <w:p w14:paraId="2A692683" w14:textId="77777777" w:rsidR="00BC1EAB" w:rsidRPr="006E61BD" w:rsidRDefault="00BC1EAB" w:rsidP="00BC1EAB">
      <w:pPr>
        <w:rPr>
          <w:color w:val="0070C0"/>
        </w:rPr>
      </w:pPr>
    </w:p>
    <w:p w14:paraId="460DF162" w14:textId="1A79C93D" w:rsidR="00355D24" w:rsidRPr="006C7EDE" w:rsidRDefault="00355D24" w:rsidP="00355D24">
      <w:pPr>
        <w:pStyle w:val="Legenda"/>
        <w:keepNext/>
        <w:spacing w:before="240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6C7EDE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 xml:space="preserve">Tabela </w:t>
      </w:r>
      <w:r w:rsidR="3C479553" w:rsidRPr="006C7EDE">
        <w:rPr>
          <w:rFonts w:ascii="Arial" w:hAnsi="Arial" w:cs="Arial"/>
          <w:b/>
          <w:bCs/>
          <w:i w:val="0"/>
          <w:color w:val="auto"/>
          <w:sz w:val="24"/>
          <w:szCs w:val="24"/>
        </w:rPr>
        <w:t>3</w:t>
      </w:r>
      <w:r w:rsidRPr="006C7EDE">
        <w:rPr>
          <w:rFonts w:ascii="Arial" w:hAnsi="Arial" w:cs="Arial"/>
          <w:b/>
          <w:bCs/>
          <w:i w:val="0"/>
          <w:color w:val="auto"/>
          <w:sz w:val="24"/>
          <w:szCs w:val="24"/>
        </w:rPr>
        <w:t xml:space="preserve">. Kryteria merytoryczne specyficzne </w:t>
      </w:r>
      <w:r w:rsidR="00BC1EAB" w:rsidRPr="006C7EDE">
        <w:rPr>
          <w:rFonts w:ascii="Arial" w:hAnsi="Arial" w:cs="Arial"/>
          <w:b/>
          <w:bCs/>
          <w:i w:val="0"/>
          <w:color w:val="auto"/>
          <w:sz w:val="24"/>
          <w:szCs w:val="24"/>
        </w:rPr>
        <w:t>punktowe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  <w:tblCaption w:val="Tabela 3. Kryteria merytoryczne specyficzne"/>
      </w:tblPr>
      <w:tblGrid>
        <w:gridCol w:w="704"/>
        <w:gridCol w:w="3686"/>
        <w:gridCol w:w="9497"/>
      </w:tblGrid>
      <w:tr w:rsidR="006C7EDE" w:rsidRPr="006C7EDE" w14:paraId="5DFEA974" w14:textId="77777777" w:rsidTr="00501589">
        <w:trPr>
          <w:trHeight w:val="300"/>
          <w:tblHeader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7DDD81A2" w14:textId="77777777" w:rsidR="00BC0058" w:rsidRPr="006C7EDE" w:rsidRDefault="00BC0058" w:rsidP="00BC0058">
            <w:pPr>
              <w:pStyle w:val="Akapitzlist"/>
              <w:ind w:left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5FA6DB06" w14:textId="77777777" w:rsidR="00BC0058" w:rsidRPr="006C7EDE" w:rsidRDefault="00BC0058" w:rsidP="00BC0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9497" w:type="dxa"/>
            <w:shd w:val="clear" w:color="auto" w:fill="BFBFBF" w:themeFill="background1" w:themeFillShade="BF"/>
            <w:vAlign w:val="center"/>
          </w:tcPr>
          <w:p w14:paraId="4B47CB0E" w14:textId="77777777" w:rsidR="00BC0058" w:rsidRPr="006C7EDE" w:rsidRDefault="00BC0058" w:rsidP="00BC0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</w:p>
        </w:tc>
      </w:tr>
      <w:tr w:rsidR="006C7EDE" w:rsidRPr="006C7EDE" w14:paraId="2BF9A2C4" w14:textId="77777777" w:rsidTr="00501589">
        <w:trPr>
          <w:trHeight w:val="2332"/>
        </w:trPr>
        <w:tc>
          <w:tcPr>
            <w:tcW w:w="704" w:type="dxa"/>
          </w:tcPr>
          <w:p w14:paraId="45C645AE" w14:textId="77777777" w:rsidR="00051E11" w:rsidRPr="006C7EDE" w:rsidRDefault="00051E11" w:rsidP="00051E11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626BF55B" w14:textId="736297B5" w:rsidR="00051E11" w:rsidRPr="006C7EDE" w:rsidRDefault="00051E11" w:rsidP="00051E11">
            <w:pPr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Style w:val="normaltextrun"/>
                <w:rFonts w:ascii="Arial" w:hAnsi="Arial" w:cs="Arial"/>
                <w:sz w:val="24"/>
                <w:szCs w:val="24"/>
                <w:shd w:val="clear" w:color="auto" w:fill="FFFFFF"/>
              </w:rPr>
              <w:t>Dostępność PSZOK</w:t>
            </w:r>
          </w:p>
        </w:tc>
        <w:tc>
          <w:tcPr>
            <w:tcW w:w="9497" w:type="dxa"/>
            <w:shd w:val="clear" w:color="auto" w:fill="auto"/>
          </w:tcPr>
          <w:p w14:paraId="5F35BAD6" w14:textId="2487A55B" w:rsidR="00195541" w:rsidRPr="006C7EDE" w:rsidRDefault="00195541" w:rsidP="00195541">
            <w:pPr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sz w:val="24"/>
                <w:szCs w:val="24"/>
              </w:rPr>
              <w:t>Kryterium ocenimy na podstawie pola B.2. Krótki opis projektu, B.7 Kryteria wyboru, D. Diagnoza oraz potencjał do realizacji.</w:t>
            </w:r>
          </w:p>
          <w:p w14:paraId="20E8D945" w14:textId="77777777" w:rsidR="000A46E5" w:rsidRPr="006C7EDE" w:rsidRDefault="00470183" w:rsidP="00195541">
            <w:pPr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sz w:val="24"/>
                <w:szCs w:val="24"/>
              </w:rPr>
              <w:t>Wskaż</w:t>
            </w:r>
            <w:r w:rsidR="00195541" w:rsidRPr="006C7EDE">
              <w:rPr>
                <w:rFonts w:ascii="Arial" w:hAnsi="Arial" w:cs="Arial"/>
                <w:sz w:val="24"/>
                <w:szCs w:val="24"/>
              </w:rPr>
              <w:t xml:space="preserve"> we wniosku o dofinansowanie</w:t>
            </w:r>
            <w:r w:rsidR="00A85545" w:rsidRPr="006C7E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816" w:rsidRPr="006C7EDE">
              <w:rPr>
                <w:rFonts w:ascii="Arial" w:hAnsi="Arial" w:cs="Arial"/>
                <w:sz w:val="24"/>
                <w:szCs w:val="24"/>
              </w:rPr>
              <w:t xml:space="preserve">godziny, dni </w:t>
            </w:r>
            <w:r w:rsidRPr="006C7EDE">
              <w:rPr>
                <w:rFonts w:ascii="Arial" w:hAnsi="Arial" w:cs="Arial"/>
                <w:sz w:val="24"/>
                <w:szCs w:val="24"/>
              </w:rPr>
              <w:t>tygodnia w których PSZOK będzie dostępny dla ludności</w:t>
            </w:r>
            <w:r w:rsidR="00195541" w:rsidRPr="006C7ED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A265A4C" w14:textId="380EC74A" w:rsidR="00195541" w:rsidRPr="006C7EDE" w:rsidRDefault="000A46E5" w:rsidP="00195541">
            <w:pPr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sz w:val="24"/>
                <w:szCs w:val="24"/>
              </w:rPr>
              <w:t>Im bardziej PSZOK będzie dostępny</w:t>
            </w:r>
            <w:r w:rsidR="00195541" w:rsidRPr="006C7EDE">
              <w:rPr>
                <w:rFonts w:ascii="Arial" w:hAnsi="Arial" w:cs="Arial"/>
                <w:sz w:val="24"/>
                <w:szCs w:val="24"/>
              </w:rPr>
              <w:t>, tym więcej punktów otrzymasz.</w:t>
            </w:r>
          </w:p>
          <w:p w14:paraId="62B09965" w14:textId="461FE17A" w:rsidR="00051E11" w:rsidRPr="006C7EDE" w:rsidRDefault="007B095F" w:rsidP="007B095F">
            <w:pPr>
              <w:rPr>
                <w:rFonts w:ascii="Arial" w:hAnsi="Arial" w:cs="Arial"/>
                <w:sz w:val="24"/>
                <w:szCs w:val="24"/>
              </w:rPr>
            </w:pPr>
            <w:r w:rsidRPr="006C7EDE">
              <w:rPr>
                <w:rFonts w:ascii="Arial" w:hAnsi="Arial" w:cs="Arial"/>
                <w:sz w:val="24"/>
                <w:szCs w:val="24"/>
              </w:rPr>
              <w:t>Dodatkowy punkt można uzyskać za organizację mobilnego PSZOK</w:t>
            </w:r>
            <w:r w:rsidR="000A46E5" w:rsidRPr="006C7E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51E11" w:rsidRPr="0093705A" w14:paraId="5889A37C" w14:textId="77777777" w:rsidTr="00501589">
        <w:trPr>
          <w:trHeight w:val="2332"/>
        </w:trPr>
        <w:tc>
          <w:tcPr>
            <w:tcW w:w="704" w:type="dxa"/>
          </w:tcPr>
          <w:p w14:paraId="71378D6E" w14:textId="77777777" w:rsidR="00051E11" w:rsidRPr="0093705A" w:rsidRDefault="00051E11" w:rsidP="00051E11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7B39B60F" w14:textId="2862E262" w:rsidR="00051E11" w:rsidRPr="0093705A" w:rsidRDefault="00051E11" w:rsidP="00051E11">
            <w:pPr>
              <w:rPr>
                <w:rFonts w:ascii="Arial" w:hAnsi="Arial" w:cs="Arial"/>
                <w:sz w:val="24"/>
                <w:szCs w:val="24"/>
              </w:rPr>
            </w:pPr>
            <w:r w:rsidRPr="006543FA">
              <w:rPr>
                <w:rStyle w:val="normaltextrun"/>
                <w:rFonts w:ascii="Arial" w:hAnsi="Arial" w:cs="Arial"/>
                <w:sz w:val="24"/>
                <w:szCs w:val="24"/>
                <w:shd w:val="clear" w:color="auto" w:fill="FFFFFF"/>
              </w:rPr>
              <w:t>Rozwój sieci PSZOK</w:t>
            </w:r>
          </w:p>
        </w:tc>
        <w:tc>
          <w:tcPr>
            <w:tcW w:w="9497" w:type="dxa"/>
            <w:shd w:val="clear" w:color="auto" w:fill="auto"/>
          </w:tcPr>
          <w:p w14:paraId="2E582F47" w14:textId="36B917E5" w:rsidR="00810939" w:rsidRPr="009D4980" w:rsidRDefault="00810939" w:rsidP="00810939">
            <w:pPr>
              <w:rPr>
                <w:rFonts w:ascii="Arial" w:hAnsi="Arial" w:cs="Arial"/>
                <w:sz w:val="24"/>
                <w:szCs w:val="24"/>
              </w:rPr>
            </w:pPr>
            <w:r w:rsidRPr="00195541">
              <w:rPr>
                <w:rFonts w:ascii="Arial" w:hAnsi="Arial" w:cs="Arial"/>
                <w:sz w:val="24"/>
                <w:szCs w:val="24"/>
              </w:rPr>
              <w:t xml:space="preserve">Kryterium ocenimy na podstawie pola B.2. Krótki opis projektu, B.7 Kryteria wyboru, D. Diagnoza oraz potencjał do </w:t>
            </w:r>
            <w:r w:rsidRPr="009D4980">
              <w:rPr>
                <w:rFonts w:ascii="Arial" w:hAnsi="Arial" w:cs="Arial"/>
                <w:sz w:val="24"/>
                <w:szCs w:val="24"/>
              </w:rPr>
              <w:t>realizacji</w:t>
            </w:r>
            <w:r w:rsidR="009D4980" w:rsidRPr="009D4980">
              <w:rPr>
                <w:rFonts w:ascii="Arial" w:hAnsi="Arial" w:cs="Arial"/>
                <w:sz w:val="24"/>
                <w:szCs w:val="24"/>
              </w:rPr>
              <w:t xml:space="preserve"> , E.3 Budżet projektu oraz E.4.3. PODSUMOWANIE BUDŻETU.</w:t>
            </w:r>
          </w:p>
          <w:p w14:paraId="68A0F9F0" w14:textId="35C01B37" w:rsidR="007B095F" w:rsidRPr="007B095F" w:rsidRDefault="007B095F" w:rsidP="007B095F">
            <w:pPr>
              <w:rPr>
                <w:rFonts w:ascii="Arial" w:hAnsi="Arial" w:cs="Arial"/>
                <w:sz w:val="24"/>
                <w:szCs w:val="24"/>
              </w:rPr>
            </w:pPr>
            <w:r w:rsidRPr="007B095F">
              <w:rPr>
                <w:rFonts w:ascii="Arial" w:hAnsi="Arial" w:cs="Arial"/>
                <w:sz w:val="24"/>
                <w:szCs w:val="24"/>
              </w:rPr>
              <w:t>W ramach kryterium premiowane będą projekty, które prowadzą do zwiększenia ilości PSZOK w gminie, a także zakresu świadczonych przez nie usług (centrum napraw, punkt ponownego użycia, punkt wymiany rzeczy używanych, systemy selektywnej zbiórki odpadów.</w:t>
            </w:r>
          </w:p>
          <w:p w14:paraId="700A5C73" w14:textId="526E4EBA" w:rsidR="00051E11" w:rsidRPr="00A11506" w:rsidRDefault="00051E11" w:rsidP="007B09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579" w:rsidRPr="0093705A" w14:paraId="32772C2B" w14:textId="77777777" w:rsidTr="00501589">
        <w:trPr>
          <w:trHeight w:val="2332"/>
        </w:trPr>
        <w:tc>
          <w:tcPr>
            <w:tcW w:w="704" w:type="dxa"/>
          </w:tcPr>
          <w:p w14:paraId="1481830B" w14:textId="77777777" w:rsidR="00C66579" w:rsidRPr="0093705A" w:rsidRDefault="00C66579" w:rsidP="00C6657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478D0168" w14:textId="13254BA5" w:rsidR="00C66579" w:rsidRPr="0093705A" w:rsidRDefault="00C66579" w:rsidP="00C66579">
            <w:pPr>
              <w:rPr>
                <w:rFonts w:ascii="Arial" w:hAnsi="Arial" w:cs="Arial"/>
                <w:sz w:val="24"/>
                <w:szCs w:val="24"/>
              </w:rPr>
            </w:pPr>
            <w:r w:rsidRPr="00193747">
              <w:rPr>
                <w:rStyle w:val="normaltextrun"/>
                <w:rFonts w:ascii="Arial" w:hAnsi="Arial" w:cs="Arial"/>
                <w:sz w:val="24"/>
                <w:szCs w:val="24"/>
                <w:shd w:val="clear" w:color="auto" w:fill="FFFFFF"/>
              </w:rPr>
              <w:t>Liczba frakcji odpadów objętych selektywną zbiórką odpadów</w:t>
            </w:r>
          </w:p>
        </w:tc>
        <w:tc>
          <w:tcPr>
            <w:tcW w:w="9497" w:type="dxa"/>
            <w:shd w:val="clear" w:color="auto" w:fill="auto"/>
          </w:tcPr>
          <w:p w14:paraId="0F95CBDD" w14:textId="6DE0D31F" w:rsidR="00746484" w:rsidRDefault="000E65F1" w:rsidP="00C6657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E65F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ocenimy na podstawie pola B.2. Krótki opis projektu, B.7 Kryteria wyboru, D. Diagnoza oraz potencjał do realizacji</w:t>
            </w:r>
            <w:r w:rsid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</w:t>
            </w:r>
            <w:r w:rsidR="00746484" w:rsidRP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zezwoleni</w:t>
            </w:r>
            <w:r w:rsid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="00746484" w:rsidRP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 zbieranie odpadów lub inn</w:t>
            </w:r>
            <w:r w:rsid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ego</w:t>
            </w:r>
            <w:r w:rsidR="00746484" w:rsidRP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dokument</w:t>
            </w:r>
            <w:r w:rsid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746484" w:rsidRP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np. dokumentacja techniczna czy regulamin, o którym mowa w art. 4 ust. 1 ustawy z dnia 13 września 1996 r. o utrzymaniu czystości i porządku w gminach</w:t>
            </w:r>
            <w:r w:rsidR="007464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77BC668" w14:textId="571C2122" w:rsidR="00C66579" w:rsidRPr="00A11506" w:rsidRDefault="00C66579" w:rsidP="000E65F1">
            <w:pPr>
              <w:rPr>
                <w:rFonts w:ascii="Arial" w:hAnsi="Arial" w:cs="Arial"/>
                <w:sz w:val="24"/>
                <w:szCs w:val="24"/>
              </w:rPr>
            </w:pPr>
            <w:r w:rsidRPr="002B29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należy zweryfikować planowaną liczbę frakcji, zgodnie z katalogiem odpadów objętych selektywną zbiórką, które mogą trafić do PSZOK. </w:t>
            </w:r>
          </w:p>
        </w:tc>
      </w:tr>
      <w:tr w:rsidR="00C66579" w:rsidRPr="0093705A" w14:paraId="2CEBD61A" w14:textId="77777777" w:rsidTr="00501589">
        <w:trPr>
          <w:trHeight w:val="2332"/>
        </w:trPr>
        <w:tc>
          <w:tcPr>
            <w:tcW w:w="704" w:type="dxa"/>
          </w:tcPr>
          <w:p w14:paraId="275F2BCB" w14:textId="77777777" w:rsidR="00C66579" w:rsidRPr="0093705A" w:rsidRDefault="00C66579" w:rsidP="00C6657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091FE4F7" w14:textId="1E6402C3" w:rsidR="00C66579" w:rsidRPr="0093705A" w:rsidRDefault="00C66579" w:rsidP="00C66579">
            <w:pPr>
              <w:rPr>
                <w:rFonts w:ascii="Arial" w:hAnsi="Arial" w:cs="Arial"/>
                <w:sz w:val="24"/>
                <w:szCs w:val="24"/>
              </w:rPr>
            </w:pPr>
            <w:r w:rsidRPr="0093705A">
              <w:rPr>
                <w:rFonts w:ascii="Arial" w:hAnsi="Arial" w:cs="Arial"/>
                <w:sz w:val="24"/>
                <w:szCs w:val="24"/>
              </w:rPr>
              <w:t>Możliwość oddania do PSZOK odpadów remontowo – budowlanych.</w:t>
            </w:r>
          </w:p>
        </w:tc>
        <w:tc>
          <w:tcPr>
            <w:tcW w:w="9497" w:type="dxa"/>
            <w:shd w:val="clear" w:color="auto" w:fill="auto"/>
          </w:tcPr>
          <w:p w14:paraId="5E41B726" w14:textId="77777777" w:rsidR="000E65F1" w:rsidRDefault="000E65F1" w:rsidP="000E65F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E65F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ocenimy na podstawie pola B.2. Krótki opis projektu, B.7 Kryteria wyboru, D. Diagnoza oraz potencjał do realizacji.</w:t>
            </w:r>
          </w:p>
          <w:p w14:paraId="279F7F85" w14:textId="64484D57" w:rsidR="00C66579" w:rsidRPr="0093705A" w:rsidRDefault="00C66579" w:rsidP="00C66579">
            <w:pPr>
              <w:rPr>
                <w:rFonts w:ascii="Arial" w:hAnsi="Arial" w:cs="Arial"/>
                <w:sz w:val="24"/>
                <w:szCs w:val="24"/>
              </w:rPr>
            </w:pPr>
            <w:r w:rsidRPr="00A11506">
              <w:rPr>
                <w:rFonts w:ascii="Arial" w:hAnsi="Arial" w:cs="Arial"/>
                <w:sz w:val="24"/>
                <w:szCs w:val="24"/>
              </w:rPr>
              <w:t>W kryterium badane będzie czy istnieje możliwość oddania w PSZOK odpadów remontowo – budowlanych. Premiowane będzie jeżeli istnieje w PSZOK możliwość ich przyjęcia.</w:t>
            </w:r>
          </w:p>
        </w:tc>
      </w:tr>
      <w:tr w:rsidR="00F04A4C" w:rsidRPr="0093705A" w14:paraId="597044B9" w14:textId="77777777" w:rsidTr="00501589">
        <w:trPr>
          <w:trHeight w:val="2332"/>
        </w:trPr>
        <w:tc>
          <w:tcPr>
            <w:tcW w:w="704" w:type="dxa"/>
          </w:tcPr>
          <w:p w14:paraId="4C744EE0" w14:textId="77777777" w:rsidR="00F04A4C" w:rsidRPr="0093705A" w:rsidRDefault="00F04A4C" w:rsidP="00F04A4C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2502D3F3" w14:textId="37F47BB4" w:rsidR="00F04A4C" w:rsidRPr="0093705A" w:rsidRDefault="00F04A4C" w:rsidP="00F04A4C">
            <w:pPr>
              <w:rPr>
                <w:rFonts w:ascii="Arial" w:hAnsi="Arial" w:cs="Arial"/>
                <w:sz w:val="24"/>
                <w:szCs w:val="24"/>
              </w:rPr>
            </w:pPr>
            <w:r w:rsidRPr="005417A2">
              <w:rPr>
                <w:rFonts w:ascii="Arial" w:hAnsi="Arial" w:cs="Arial"/>
                <w:sz w:val="24"/>
                <w:szCs w:val="24"/>
              </w:rPr>
              <w:t>Wpływ projektu na zwiększenie świadomości społecznej w zakresie zapobiegania powstawaniu odpadów a także zasad ich segregacji, które zwiększą świadomość w zakresie zrównoważonej konsumpcji i przyczynią się do zmniejszenia ubóstwa.</w:t>
            </w:r>
          </w:p>
        </w:tc>
        <w:tc>
          <w:tcPr>
            <w:tcW w:w="9497" w:type="dxa"/>
            <w:shd w:val="clear" w:color="auto" w:fill="auto"/>
          </w:tcPr>
          <w:p w14:paraId="34447C74" w14:textId="77777777" w:rsidR="000E65F1" w:rsidRPr="009D4980" w:rsidRDefault="000E65F1" w:rsidP="000E65F1">
            <w:pPr>
              <w:rPr>
                <w:rFonts w:ascii="Arial" w:hAnsi="Arial" w:cs="Arial"/>
                <w:sz w:val="24"/>
                <w:szCs w:val="24"/>
              </w:rPr>
            </w:pPr>
            <w:r w:rsidRPr="00195541">
              <w:rPr>
                <w:rFonts w:ascii="Arial" w:hAnsi="Arial" w:cs="Arial"/>
                <w:sz w:val="24"/>
                <w:szCs w:val="24"/>
              </w:rPr>
              <w:t xml:space="preserve">Kryterium ocenimy na podstawie pola B.2. Krótki opis projektu, B.7 Kryteria wyboru, D. Diagnoza oraz potencjał do </w:t>
            </w:r>
            <w:r w:rsidRPr="009D4980">
              <w:rPr>
                <w:rFonts w:ascii="Arial" w:hAnsi="Arial" w:cs="Arial"/>
                <w:sz w:val="24"/>
                <w:szCs w:val="24"/>
              </w:rPr>
              <w:t>realizacji , E.3 Budżet projektu oraz E.4.3. PODSUMOWANIE BUDŻETU.</w:t>
            </w:r>
          </w:p>
          <w:p w14:paraId="7889CC51" w14:textId="3F9450BE" w:rsidR="00F04A4C" w:rsidRPr="00A11506" w:rsidRDefault="00F04A4C" w:rsidP="00F04A4C">
            <w:pPr>
              <w:rPr>
                <w:rFonts w:ascii="Arial" w:hAnsi="Arial" w:cs="Arial"/>
                <w:sz w:val="24"/>
                <w:szCs w:val="24"/>
              </w:rPr>
            </w:pPr>
            <w:r w:rsidRPr="005417A2">
              <w:rPr>
                <w:rFonts w:ascii="Arial" w:hAnsi="Arial" w:cs="Arial"/>
                <w:sz w:val="24"/>
                <w:szCs w:val="24"/>
              </w:rPr>
              <w:t>W ramach kryterium ocenie podlegać będzie forma założonych działań informacyjno-edukacyjnych oraz grupa docelowa tych działań, także uwzględnienie innowacyjnych sposobów gromadzenia odpadów u źródła, zasad segregacji odpadów, zwiększanie świadomości w zakresie zrównoważonej konsumpcji np. RFID, aplikacje i inne)</w:t>
            </w:r>
          </w:p>
        </w:tc>
      </w:tr>
      <w:tr w:rsidR="00F64C9C" w:rsidRPr="0093705A" w14:paraId="4984C98D" w14:textId="77777777" w:rsidTr="00501589">
        <w:trPr>
          <w:trHeight w:val="2332"/>
        </w:trPr>
        <w:tc>
          <w:tcPr>
            <w:tcW w:w="704" w:type="dxa"/>
          </w:tcPr>
          <w:p w14:paraId="75D69931" w14:textId="77777777" w:rsidR="00F64C9C" w:rsidRPr="0093705A" w:rsidRDefault="00F64C9C" w:rsidP="00F64C9C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44BFED14" w14:textId="2C619A6A" w:rsidR="00F64C9C" w:rsidRPr="005417A2" w:rsidRDefault="00F64C9C" w:rsidP="00F64C9C">
            <w:pPr>
              <w:rPr>
                <w:rFonts w:ascii="Arial" w:hAnsi="Arial" w:cs="Arial"/>
                <w:sz w:val="24"/>
                <w:szCs w:val="24"/>
              </w:rPr>
            </w:pPr>
            <w:r w:rsidRPr="00F64C9C">
              <w:rPr>
                <w:rFonts w:ascii="Arial" w:hAnsi="Arial" w:cs="Arial"/>
                <w:sz w:val="24"/>
                <w:szCs w:val="24"/>
              </w:rPr>
              <w:t>Udział liczby mieszkańców gminy obsługiwanych przez PSZOK</w:t>
            </w:r>
          </w:p>
        </w:tc>
        <w:tc>
          <w:tcPr>
            <w:tcW w:w="9497" w:type="dxa"/>
            <w:shd w:val="clear" w:color="auto" w:fill="auto"/>
          </w:tcPr>
          <w:p w14:paraId="2969AAC2" w14:textId="10115883" w:rsidR="00351A7D" w:rsidRDefault="00351A7D" w:rsidP="00351A7D">
            <w:pPr>
              <w:rPr>
                <w:rFonts w:ascii="Arial" w:hAnsi="Arial" w:cs="Arial"/>
                <w:sz w:val="24"/>
                <w:szCs w:val="24"/>
              </w:rPr>
            </w:pPr>
            <w:r w:rsidRPr="00195541">
              <w:rPr>
                <w:rFonts w:ascii="Arial" w:hAnsi="Arial" w:cs="Arial"/>
                <w:sz w:val="24"/>
                <w:szCs w:val="24"/>
              </w:rPr>
              <w:t xml:space="preserve">Kryterium ocenimy na podstawie pola B.2. Krótki opis projektu, B.7 Kryteria wyboru, D. Diagnoza oraz potencjał do </w:t>
            </w:r>
            <w:r w:rsidRPr="009D4980">
              <w:rPr>
                <w:rFonts w:ascii="Arial" w:hAnsi="Arial" w:cs="Arial"/>
                <w:sz w:val="24"/>
                <w:szCs w:val="24"/>
              </w:rPr>
              <w:t>realizacji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F6F0E9" w14:textId="2A917607" w:rsidR="00F64C9C" w:rsidRPr="005417A2" w:rsidRDefault="00F64C9C" w:rsidP="00351A7D">
            <w:pPr>
              <w:rPr>
                <w:rFonts w:ascii="Arial" w:hAnsi="Arial" w:cs="Arial"/>
                <w:sz w:val="24"/>
                <w:szCs w:val="24"/>
              </w:rPr>
            </w:pPr>
            <w:r w:rsidRPr="00F64C9C">
              <w:rPr>
                <w:rFonts w:ascii="Arial" w:hAnsi="Arial" w:cs="Arial"/>
                <w:sz w:val="24"/>
                <w:szCs w:val="24"/>
              </w:rPr>
              <w:t>W ramach kryterium ocenie podlegać będzie planowany udział liczby mieszkańców obsługiwanych przez PSZOK-i (nowe/funkcjonujące - sumarycznie) w stosunku do wszystkich mieszkańców gminy.</w:t>
            </w:r>
          </w:p>
        </w:tc>
      </w:tr>
      <w:tr w:rsidR="00F34060" w:rsidRPr="0093705A" w14:paraId="35F6756D" w14:textId="77777777" w:rsidTr="00501589">
        <w:trPr>
          <w:trHeight w:val="2332"/>
        </w:trPr>
        <w:tc>
          <w:tcPr>
            <w:tcW w:w="704" w:type="dxa"/>
          </w:tcPr>
          <w:p w14:paraId="649E1FEB" w14:textId="77777777" w:rsidR="00F34060" w:rsidRPr="0093705A" w:rsidRDefault="00F34060" w:rsidP="00F34060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117991F3" w14:textId="77777777" w:rsidR="00F34060" w:rsidRPr="00F71A46" w:rsidRDefault="00F34060" w:rsidP="00F3406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C45911" w:themeColor="accent2" w:themeShade="BF"/>
                <w:lang w:eastAsia="pl-PL"/>
              </w:rPr>
            </w:pPr>
            <w:r w:rsidRPr="2C99B7BD">
              <w:rPr>
                <w:rFonts w:ascii="Arial" w:eastAsia="Times New Roman" w:hAnsi="Arial" w:cs="Arial"/>
              </w:rPr>
              <w:t xml:space="preserve">Limit odpadów możliwych do oddania do PSZOK na mieszkańca w ramach ponoszonej opłaty za gospodarowanie odpadami </w:t>
            </w:r>
          </w:p>
          <w:p w14:paraId="213B68AB" w14:textId="77777777" w:rsidR="00F34060" w:rsidRPr="00F64C9C" w:rsidRDefault="00F34060" w:rsidP="00F340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14:paraId="43E52B4B" w14:textId="77777777" w:rsidR="00BF005E" w:rsidRDefault="00BF005E" w:rsidP="00BF005E">
            <w:pPr>
              <w:rPr>
                <w:rFonts w:ascii="Arial" w:hAnsi="Arial" w:cs="Arial"/>
                <w:sz w:val="24"/>
                <w:szCs w:val="24"/>
              </w:rPr>
            </w:pPr>
            <w:r w:rsidRPr="00195541">
              <w:rPr>
                <w:rFonts w:ascii="Arial" w:hAnsi="Arial" w:cs="Arial"/>
                <w:sz w:val="24"/>
                <w:szCs w:val="24"/>
              </w:rPr>
              <w:t xml:space="preserve">Kryterium ocenimy na podstawie pola B.2. Krótki opis projektu, B.7 Kryteria wyboru, D. Diagnoza oraz potencjał do </w:t>
            </w:r>
            <w:r w:rsidRPr="009D4980">
              <w:rPr>
                <w:rFonts w:ascii="Arial" w:hAnsi="Arial" w:cs="Arial"/>
                <w:sz w:val="24"/>
                <w:szCs w:val="24"/>
              </w:rPr>
              <w:t>realizacji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2B29FB" w14:textId="03721E0D" w:rsidR="00F34060" w:rsidRPr="00BF005E" w:rsidRDefault="00F34060" w:rsidP="00BF005E">
            <w:pPr>
              <w:rPr>
                <w:rFonts w:ascii="Arial" w:eastAsia="Times New Roman" w:hAnsi="Arial" w:cs="Arial"/>
                <w:color w:val="C45911" w:themeColor="accent2" w:themeShade="BF"/>
              </w:rPr>
            </w:pPr>
            <w:r w:rsidRPr="2C99B7BD">
              <w:rPr>
                <w:rFonts w:ascii="Arial" w:eastAsia="Times New Roman" w:hAnsi="Arial" w:cs="Arial"/>
              </w:rPr>
              <w:t>Premiowane będą rozwiązania, w których PSZOK oferuje możliwość bezkosztowego przyjęcia odpadów w odniesieniu do możliwie największej ilości frakcji</w:t>
            </w:r>
            <w:r w:rsidR="00BF005E">
              <w:rPr>
                <w:rFonts w:ascii="Arial" w:eastAsia="Times New Roman" w:hAnsi="Arial" w:cs="Arial"/>
              </w:rPr>
              <w:t>.</w:t>
            </w:r>
          </w:p>
        </w:tc>
      </w:tr>
    </w:tbl>
    <w:p w14:paraId="60061E4C" w14:textId="77777777" w:rsidR="00355D24" w:rsidRPr="006E61BD" w:rsidRDefault="00355D24" w:rsidP="62EBF8E0">
      <w:pPr>
        <w:spacing w:line="360" w:lineRule="auto"/>
        <w:rPr>
          <w:rFonts w:ascii="Times New Roman" w:hAnsi="Times New Roman"/>
          <w:color w:val="0070C0"/>
          <w:sz w:val="24"/>
          <w:szCs w:val="24"/>
        </w:rPr>
      </w:pPr>
    </w:p>
    <w:sectPr w:rsidR="00355D24" w:rsidRPr="006E61BD" w:rsidSect="00B01329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6EDB" w14:textId="77777777" w:rsidR="00083124" w:rsidRDefault="00083124" w:rsidP="00355D24">
      <w:pPr>
        <w:spacing w:after="0" w:line="240" w:lineRule="auto"/>
      </w:pPr>
      <w:r>
        <w:separator/>
      </w:r>
    </w:p>
  </w:endnote>
  <w:endnote w:type="continuationSeparator" w:id="0">
    <w:p w14:paraId="472FCFA7" w14:textId="77777777" w:rsidR="00083124" w:rsidRDefault="00083124" w:rsidP="00355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46F9" w14:textId="77777777" w:rsidR="00AB14A4" w:rsidRDefault="00D347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44EAFD9C" w14:textId="77777777" w:rsidR="00AB14A4" w:rsidRDefault="00D347AB" w:rsidP="00350C2C">
    <w:pPr>
      <w:pStyle w:val="Stopka"/>
      <w:jc w:val="center"/>
    </w:pPr>
    <w:r>
      <w:rPr>
        <w:noProof/>
      </w:rPr>
      <w:drawing>
        <wp:inline distT="0" distB="0" distL="0" distR="0" wp14:anchorId="432C63D9" wp14:editId="5D16DBF4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EDEB8" w14:textId="77777777" w:rsidR="00083124" w:rsidRDefault="00083124" w:rsidP="00355D24">
      <w:pPr>
        <w:spacing w:after="0" w:line="240" w:lineRule="auto"/>
      </w:pPr>
      <w:r>
        <w:separator/>
      </w:r>
    </w:p>
  </w:footnote>
  <w:footnote w:type="continuationSeparator" w:id="0">
    <w:p w14:paraId="2BE69FC8" w14:textId="77777777" w:rsidR="00083124" w:rsidRDefault="00083124" w:rsidP="00355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EE15" w14:textId="77777777" w:rsidR="00355D24" w:rsidRPr="00AA0417" w:rsidRDefault="00355D24">
    <w:pPr>
      <w:pStyle w:val="Nagwek"/>
      <w:rPr>
        <w:rFonts w:ascii="Arial" w:hAnsi="Arial" w:cs="Arial"/>
        <w:sz w:val="24"/>
        <w:szCs w:val="24"/>
      </w:rPr>
    </w:pPr>
    <w:r w:rsidRPr="00AA0417">
      <w:rPr>
        <w:rFonts w:ascii="Arial" w:hAnsi="Arial" w:cs="Arial"/>
        <w:sz w:val="24"/>
        <w:szCs w:val="24"/>
      </w:rPr>
      <w:t>Załącznik do Instrukcji wypełniania wniosku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3CBF"/>
    <w:multiLevelType w:val="multilevel"/>
    <w:tmpl w:val="67D4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E475E"/>
    <w:multiLevelType w:val="multilevel"/>
    <w:tmpl w:val="477CC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2A59BE"/>
    <w:multiLevelType w:val="multilevel"/>
    <w:tmpl w:val="348A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A205D"/>
    <w:multiLevelType w:val="multilevel"/>
    <w:tmpl w:val="8506C6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A9BEE1"/>
    <w:multiLevelType w:val="hybridMultilevel"/>
    <w:tmpl w:val="BB22784E"/>
    <w:lvl w:ilvl="0" w:tplc="AFC6B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64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B45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A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0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27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EA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7828"/>
    <w:multiLevelType w:val="multilevel"/>
    <w:tmpl w:val="EC3E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46F93"/>
    <w:multiLevelType w:val="multilevel"/>
    <w:tmpl w:val="6064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E145F"/>
    <w:multiLevelType w:val="multilevel"/>
    <w:tmpl w:val="85D0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26AA8"/>
    <w:multiLevelType w:val="hybridMultilevel"/>
    <w:tmpl w:val="BDD294D0"/>
    <w:lvl w:ilvl="0" w:tplc="6DE8E6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C3306"/>
    <w:multiLevelType w:val="hybridMultilevel"/>
    <w:tmpl w:val="F64E9354"/>
    <w:lvl w:ilvl="0" w:tplc="FC7483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B122B9D"/>
    <w:multiLevelType w:val="hybridMultilevel"/>
    <w:tmpl w:val="8FEA9AAE"/>
    <w:lvl w:ilvl="0" w:tplc="6DE8E6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CC44275"/>
    <w:multiLevelType w:val="multilevel"/>
    <w:tmpl w:val="86D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074A99"/>
    <w:multiLevelType w:val="multilevel"/>
    <w:tmpl w:val="072E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EC12A2"/>
    <w:multiLevelType w:val="multilevel"/>
    <w:tmpl w:val="275E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124ED8"/>
    <w:multiLevelType w:val="multilevel"/>
    <w:tmpl w:val="D752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6A583B"/>
    <w:multiLevelType w:val="multilevel"/>
    <w:tmpl w:val="2D82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1B5B87"/>
    <w:multiLevelType w:val="hybridMultilevel"/>
    <w:tmpl w:val="153E7060"/>
    <w:lvl w:ilvl="0" w:tplc="A56CCD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A75B2C"/>
    <w:multiLevelType w:val="multilevel"/>
    <w:tmpl w:val="FFC8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291E05"/>
    <w:multiLevelType w:val="multilevel"/>
    <w:tmpl w:val="A2B2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036F05"/>
    <w:multiLevelType w:val="multilevel"/>
    <w:tmpl w:val="CA12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4"/>
  </w:num>
  <w:num w:numId="5">
    <w:abstractNumId w:val="12"/>
  </w:num>
  <w:num w:numId="6">
    <w:abstractNumId w:val="16"/>
  </w:num>
  <w:num w:numId="7">
    <w:abstractNumId w:val="13"/>
  </w:num>
  <w:num w:numId="8">
    <w:abstractNumId w:val="21"/>
  </w:num>
  <w:num w:numId="9">
    <w:abstractNumId w:val="19"/>
  </w:num>
  <w:num w:numId="10">
    <w:abstractNumId w:val="18"/>
  </w:num>
  <w:num w:numId="11">
    <w:abstractNumId w:val="0"/>
  </w:num>
  <w:num w:numId="12">
    <w:abstractNumId w:val="1"/>
  </w:num>
  <w:num w:numId="13">
    <w:abstractNumId w:val="20"/>
  </w:num>
  <w:num w:numId="14">
    <w:abstractNumId w:val="2"/>
  </w:num>
  <w:num w:numId="15">
    <w:abstractNumId w:val="15"/>
  </w:num>
  <w:num w:numId="16">
    <w:abstractNumId w:val="22"/>
  </w:num>
  <w:num w:numId="17">
    <w:abstractNumId w:val="5"/>
  </w:num>
  <w:num w:numId="18">
    <w:abstractNumId w:val="14"/>
  </w:num>
  <w:num w:numId="19">
    <w:abstractNumId w:val="17"/>
  </w:num>
  <w:num w:numId="20">
    <w:abstractNumId w:val="7"/>
  </w:num>
  <w:num w:numId="21">
    <w:abstractNumId w:val="9"/>
  </w:num>
  <w:num w:numId="22">
    <w:abstractNumId w:val="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24"/>
    <w:rsid w:val="00001BA1"/>
    <w:rsid w:val="00051E11"/>
    <w:rsid w:val="000542F3"/>
    <w:rsid w:val="00064D50"/>
    <w:rsid w:val="00073D1D"/>
    <w:rsid w:val="00083124"/>
    <w:rsid w:val="00096769"/>
    <w:rsid w:val="000A46E5"/>
    <w:rsid w:val="000A55E3"/>
    <w:rsid w:val="000E65F1"/>
    <w:rsid w:val="00103DC1"/>
    <w:rsid w:val="001170E5"/>
    <w:rsid w:val="00120831"/>
    <w:rsid w:val="001375E2"/>
    <w:rsid w:val="00145892"/>
    <w:rsid w:val="00147CB3"/>
    <w:rsid w:val="00170DC2"/>
    <w:rsid w:val="00180428"/>
    <w:rsid w:val="00193747"/>
    <w:rsid w:val="00195541"/>
    <w:rsid w:val="001F456F"/>
    <w:rsid w:val="002008AF"/>
    <w:rsid w:val="00223270"/>
    <w:rsid w:val="00240E09"/>
    <w:rsid w:val="002A1F81"/>
    <w:rsid w:val="002B29A7"/>
    <w:rsid w:val="002C4D40"/>
    <w:rsid w:val="00316816"/>
    <w:rsid w:val="003462EE"/>
    <w:rsid w:val="00351A7D"/>
    <w:rsid w:val="00355D24"/>
    <w:rsid w:val="00356146"/>
    <w:rsid w:val="003922F6"/>
    <w:rsid w:val="00395C2C"/>
    <w:rsid w:val="003A50D1"/>
    <w:rsid w:val="003C620E"/>
    <w:rsid w:val="003E66F1"/>
    <w:rsid w:val="0040512E"/>
    <w:rsid w:val="00435A30"/>
    <w:rsid w:val="00445D84"/>
    <w:rsid w:val="00470183"/>
    <w:rsid w:val="00473EAC"/>
    <w:rsid w:val="00497BFD"/>
    <w:rsid w:val="004A3DB6"/>
    <w:rsid w:val="004A6477"/>
    <w:rsid w:val="004B564C"/>
    <w:rsid w:val="004C0750"/>
    <w:rsid w:val="004C0B6D"/>
    <w:rsid w:val="004D2BAD"/>
    <w:rsid w:val="004D7FA5"/>
    <w:rsid w:val="00501589"/>
    <w:rsid w:val="0053152C"/>
    <w:rsid w:val="00532713"/>
    <w:rsid w:val="005417A2"/>
    <w:rsid w:val="00544224"/>
    <w:rsid w:val="00561F06"/>
    <w:rsid w:val="00574A4D"/>
    <w:rsid w:val="005B6A5E"/>
    <w:rsid w:val="005D04EA"/>
    <w:rsid w:val="005D1322"/>
    <w:rsid w:val="005D3447"/>
    <w:rsid w:val="005E10F5"/>
    <w:rsid w:val="005F1756"/>
    <w:rsid w:val="006167BE"/>
    <w:rsid w:val="006502F6"/>
    <w:rsid w:val="006503B0"/>
    <w:rsid w:val="006543FA"/>
    <w:rsid w:val="006A76A4"/>
    <w:rsid w:val="006C7EDE"/>
    <w:rsid w:val="006E0DAB"/>
    <w:rsid w:val="006E61BD"/>
    <w:rsid w:val="006F7FC6"/>
    <w:rsid w:val="00720DEB"/>
    <w:rsid w:val="00723DC0"/>
    <w:rsid w:val="00731B35"/>
    <w:rsid w:val="007362A6"/>
    <w:rsid w:val="00740120"/>
    <w:rsid w:val="00743EAD"/>
    <w:rsid w:val="00746484"/>
    <w:rsid w:val="00747AAD"/>
    <w:rsid w:val="00760D4C"/>
    <w:rsid w:val="007B095F"/>
    <w:rsid w:val="007C6D4F"/>
    <w:rsid w:val="007E123B"/>
    <w:rsid w:val="00810939"/>
    <w:rsid w:val="00842605"/>
    <w:rsid w:val="00851138"/>
    <w:rsid w:val="00853F8B"/>
    <w:rsid w:val="00874795"/>
    <w:rsid w:val="008771EF"/>
    <w:rsid w:val="008966CF"/>
    <w:rsid w:val="008976A2"/>
    <w:rsid w:val="008C6BF6"/>
    <w:rsid w:val="008D6F2C"/>
    <w:rsid w:val="00915D23"/>
    <w:rsid w:val="0093705A"/>
    <w:rsid w:val="00946361"/>
    <w:rsid w:val="0095614A"/>
    <w:rsid w:val="00962527"/>
    <w:rsid w:val="009B5A1F"/>
    <w:rsid w:val="009D2336"/>
    <w:rsid w:val="009D4980"/>
    <w:rsid w:val="009E4EE9"/>
    <w:rsid w:val="00A11488"/>
    <w:rsid w:val="00A11506"/>
    <w:rsid w:val="00A23E52"/>
    <w:rsid w:val="00A24502"/>
    <w:rsid w:val="00A46D1A"/>
    <w:rsid w:val="00A53420"/>
    <w:rsid w:val="00A54243"/>
    <w:rsid w:val="00A84655"/>
    <w:rsid w:val="00A85545"/>
    <w:rsid w:val="00AA0417"/>
    <w:rsid w:val="00AD7B76"/>
    <w:rsid w:val="00AE5F69"/>
    <w:rsid w:val="00B03476"/>
    <w:rsid w:val="00B07822"/>
    <w:rsid w:val="00B12BBF"/>
    <w:rsid w:val="00B2355B"/>
    <w:rsid w:val="00B83B7C"/>
    <w:rsid w:val="00BB1463"/>
    <w:rsid w:val="00BB6943"/>
    <w:rsid w:val="00BC0058"/>
    <w:rsid w:val="00BC1EAB"/>
    <w:rsid w:val="00BC43F1"/>
    <w:rsid w:val="00BC6FCD"/>
    <w:rsid w:val="00BD381B"/>
    <w:rsid w:val="00BF005E"/>
    <w:rsid w:val="00C03C8A"/>
    <w:rsid w:val="00C177EB"/>
    <w:rsid w:val="00C21DB1"/>
    <w:rsid w:val="00C32975"/>
    <w:rsid w:val="00C4731E"/>
    <w:rsid w:val="00C66579"/>
    <w:rsid w:val="00C8582F"/>
    <w:rsid w:val="00C92398"/>
    <w:rsid w:val="00CA1B47"/>
    <w:rsid w:val="00CB25E8"/>
    <w:rsid w:val="00CC7389"/>
    <w:rsid w:val="00CF071C"/>
    <w:rsid w:val="00CF295C"/>
    <w:rsid w:val="00D056AA"/>
    <w:rsid w:val="00D14ADB"/>
    <w:rsid w:val="00D14CBD"/>
    <w:rsid w:val="00D23BD0"/>
    <w:rsid w:val="00D24F8D"/>
    <w:rsid w:val="00D347AB"/>
    <w:rsid w:val="00D504C4"/>
    <w:rsid w:val="00DD496A"/>
    <w:rsid w:val="00E1486D"/>
    <w:rsid w:val="00E1616D"/>
    <w:rsid w:val="00E25C17"/>
    <w:rsid w:val="00E273F0"/>
    <w:rsid w:val="00E3627B"/>
    <w:rsid w:val="00E4692E"/>
    <w:rsid w:val="00E47B75"/>
    <w:rsid w:val="00E53148"/>
    <w:rsid w:val="00E7513F"/>
    <w:rsid w:val="00E76178"/>
    <w:rsid w:val="00E8555A"/>
    <w:rsid w:val="00ED14ED"/>
    <w:rsid w:val="00F04724"/>
    <w:rsid w:val="00F04A4C"/>
    <w:rsid w:val="00F34060"/>
    <w:rsid w:val="00F404D8"/>
    <w:rsid w:val="00F41966"/>
    <w:rsid w:val="00F55F60"/>
    <w:rsid w:val="00F56502"/>
    <w:rsid w:val="00F64C9C"/>
    <w:rsid w:val="00F80EA2"/>
    <w:rsid w:val="00F90F87"/>
    <w:rsid w:val="00F92505"/>
    <w:rsid w:val="00FA5982"/>
    <w:rsid w:val="00FE3099"/>
    <w:rsid w:val="02720649"/>
    <w:rsid w:val="0337E22D"/>
    <w:rsid w:val="034B4F76"/>
    <w:rsid w:val="0476905C"/>
    <w:rsid w:val="04E4D7FF"/>
    <w:rsid w:val="066F0A38"/>
    <w:rsid w:val="070DD08A"/>
    <w:rsid w:val="08912D87"/>
    <w:rsid w:val="09BE53D0"/>
    <w:rsid w:val="0BC7D3F3"/>
    <w:rsid w:val="0C21D7E6"/>
    <w:rsid w:val="0DAF6C65"/>
    <w:rsid w:val="0E1A5D0C"/>
    <w:rsid w:val="0E731B11"/>
    <w:rsid w:val="0E8D51B5"/>
    <w:rsid w:val="102BA34B"/>
    <w:rsid w:val="10D3B6C4"/>
    <w:rsid w:val="11CEF960"/>
    <w:rsid w:val="14117906"/>
    <w:rsid w:val="1683AE7B"/>
    <w:rsid w:val="1885ACE6"/>
    <w:rsid w:val="19BC7EC2"/>
    <w:rsid w:val="1A020C94"/>
    <w:rsid w:val="1AF2433F"/>
    <w:rsid w:val="1B8FF6BB"/>
    <w:rsid w:val="1F0E3102"/>
    <w:rsid w:val="1F44880E"/>
    <w:rsid w:val="20908BB4"/>
    <w:rsid w:val="2135BB1C"/>
    <w:rsid w:val="21E60769"/>
    <w:rsid w:val="23EBF0B9"/>
    <w:rsid w:val="286DC362"/>
    <w:rsid w:val="293F4BDC"/>
    <w:rsid w:val="2B8DCB70"/>
    <w:rsid w:val="30C66ED0"/>
    <w:rsid w:val="321D023C"/>
    <w:rsid w:val="32BF579B"/>
    <w:rsid w:val="3320B821"/>
    <w:rsid w:val="35617A90"/>
    <w:rsid w:val="3696F3A3"/>
    <w:rsid w:val="3832C404"/>
    <w:rsid w:val="39437E46"/>
    <w:rsid w:val="39F6F827"/>
    <w:rsid w:val="3C479553"/>
    <w:rsid w:val="3C8B96C2"/>
    <w:rsid w:val="3FC33784"/>
    <w:rsid w:val="3FD95C69"/>
    <w:rsid w:val="420549F4"/>
    <w:rsid w:val="443A9DB3"/>
    <w:rsid w:val="470190A6"/>
    <w:rsid w:val="4926EA65"/>
    <w:rsid w:val="49426E90"/>
    <w:rsid w:val="49A0EDA1"/>
    <w:rsid w:val="4AD8F244"/>
    <w:rsid w:val="4CB5C37D"/>
    <w:rsid w:val="4D4BDC1F"/>
    <w:rsid w:val="4E49B7A2"/>
    <w:rsid w:val="51945A3B"/>
    <w:rsid w:val="51AAAB55"/>
    <w:rsid w:val="52E8E32F"/>
    <w:rsid w:val="53CE4588"/>
    <w:rsid w:val="544439EC"/>
    <w:rsid w:val="5476FA81"/>
    <w:rsid w:val="577D184C"/>
    <w:rsid w:val="57DDED94"/>
    <w:rsid w:val="586F6247"/>
    <w:rsid w:val="5A753DCF"/>
    <w:rsid w:val="5ABABE85"/>
    <w:rsid w:val="5C98B4CC"/>
    <w:rsid w:val="5DD1F3D5"/>
    <w:rsid w:val="5EE690D2"/>
    <w:rsid w:val="5FB89CCD"/>
    <w:rsid w:val="603EFC50"/>
    <w:rsid w:val="61546D2E"/>
    <w:rsid w:val="623C5124"/>
    <w:rsid w:val="62EBF8E0"/>
    <w:rsid w:val="64374A97"/>
    <w:rsid w:val="64E66B7A"/>
    <w:rsid w:val="6627DE51"/>
    <w:rsid w:val="6653090F"/>
    <w:rsid w:val="681F2EFF"/>
    <w:rsid w:val="6B25E236"/>
    <w:rsid w:val="6E37713F"/>
    <w:rsid w:val="6E67BB10"/>
    <w:rsid w:val="6F800423"/>
    <w:rsid w:val="6F9462EB"/>
    <w:rsid w:val="723546F4"/>
    <w:rsid w:val="725C1B01"/>
    <w:rsid w:val="753A811E"/>
    <w:rsid w:val="76ED76D1"/>
    <w:rsid w:val="78CC25D3"/>
    <w:rsid w:val="7A67F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5FEFB"/>
  <w15:chartTrackingRefBased/>
  <w15:docId w15:val="{72DEAB34-D39F-4693-AE63-63BA7873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355D2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5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D24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rsid w:val="00355D24"/>
    <w:rPr>
      <w:rFonts w:ascii="Calibri" w:eastAsia="Calibri" w:hAnsi="Calibri" w:cs="Times New Roman"/>
    </w:rPr>
  </w:style>
  <w:style w:type="character" w:customStyle="1" w:styleId="normaltextrun">
    <w:name w:val="normaltextrun"/>
    <w:rsid w:val="00355D24"/>
  </w:style>
  <w:style w:type="character" w:customStyle="1" w:styleId="eop">
    <w:name w:val="eop"/>
    <w:rsid w:val="00355D24"/>
  </w:style>
  <w:style w:type="table" w:styleId="Tabela-Siatka">
    <w:name w:val="Table Grid"/>
    <w:basedOn w:val="Standardowy"/>
    <w:uiPriority w:val="39"/>
    <w:rsid w:val="00355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355D24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5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D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32422732D4754B8A38F43DCA7E29FA" ma:contentTypeVersion="16" ma:contentTypeDescription="Utwórz nowy dokument." ma:contentTypeScope="" ma:versionID="07757b207e07e7a2c57189f7ff108b5a">
  <xsd:schema xmlns:xsd="http://www.w3.org/2001/XMLSchema" xmlns:xs="http://www.w3.org/2001/XMLSchema" xmlns:p="http://schemas.microsoft.com/office/2006/metadata/properties" xmlns:ns2="f9fddaa2-5d50-496e-a787-7f0e5e10bc21" xmlns:ns3="d7a5b636-efbd-498d-8e03-8e36647a40b7" targetNamespace="http://schemas.microsoft.com/office/2006/metadata/properties" ma:root="true" ma:fieldsID="d44adc0405b4cce8549e80ddca656973" ns2:_="" ns3:_="">
    <xsd:import namespace="f9fddaa2-5d50-496e-a787-7f0e5e10bc21"/>
    <xsd:import namespace="d7a5b636-efbd-498d-8e03-8e36647a40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ddaa2-5d50-496e-a787-7f0e5e10bc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b636-efbd-498d-8e03-8e36647a4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aa1202c-0176-4fa6-92b7-ee75c8913657}" ma:internalName="TaxCatchAll" ma:showField="CatchAllData" ma:web="d7a5b636-efbd-498d-8e03-8e36647a40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a5b636-efbd-498d-8e03-8e36647a40b7">
      <UserInfo>
        <DisplayName/>
        <AccountId xsi:nil="true"/>
        <AccountType/>
      </UserInfo>
    </SharedWithUsers>
    <lcf76f155ced4ddcb4097134ff3c332f xmlns="f9fddaa2-5d50-496e-a787-7f0e5e10bc21">
      <Terms xmlns="http://schemas.microsoft.com/office/infopath/2007/PartnerControls"/>
    </lcf76f155ced4ddcb4097134ff3c332f>
    <TaxCatchAll xmlns="d7a5b636-efbd-498d-8e03-8e36647a40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53806B-8B57-4D51-B114-467E3FD93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fddaa2-5d50-496e-a787-7f0e5e10bc21"/>
    <ds:schemaRef ds:uri="d7a5b636-efbd-498d-8e03-8e36647a4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83F52C-C3D9-46D9-8604-16307A014B5A}">
  <ds:schemaRefs>
    <ds:schemaRef ds:uri="http://schemas.microsoft.com/office/2006/metadata/properties"/>
    <ds:schemaRef ds:uri="http://schemas.microsoft.com/office/infopath/2007/PartnerControls"/>
    <ds:schemaRef ds:uri="d7a5b636-efbd-498d-8e03-8e36647a40b7"/>
    <ds:schemaRef ds:uri="f9fddaa2-5d50-496e-a787-7f0e5e10bc21"/>
  </ds:schemaRefs>
</ds:datastoreItem>
</file>

<file path=customXml/itemProps3.xml><?xml version="1.0" encoding="utf-8"?>
<ds:datastoreItem xmlns:ds="http://schemas.openxmlformats.org/officeDocument/2006/customXml" ds:itemID="{58EA17DC-5944-48D0-ACA5-08EF40E4F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regulaminu. Warunki specyficzne dla naboru 2.14</vt:lpstr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regulaminu. Warunki specyficzne dla naboru 2.14</dc:title>
  <dc:subject/>
  <dc:creator>Dąbrowska Karolina</dc:creator>
  <cp:keywords/>
  <dc:description/>
  <cp:lastModifiedBy>Kuroczka Dariusz</cp:lastModifiedBy>
  <cp:revision>55</cp:revision>
  <dcterms:created xsi:type="dcterms:W3CDTF">2024-09-18T09:02:00Z</dcterms:created>
  <dcterms:modified xsi:type="dcterms:W3CDTF">2024-09-20T08:44:00Z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0x0101003E32422732D4754B8A38F43DCA7E29FA</vt:lpwstr>
  </property>
  <property fmtid="{D5CDD505-2E9C-101B-9397-08002B2CF9AE}" pid="3" name="MediaServiceImageTags">
    <vt:lpwstr/>
  </property>
  <property fmtid="{D5CDD505-2E9C-101B-9397-08002B2CF9AE}" pid="4" name="Order">
    <vt:r8>9552500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ColorHex">
    <vt:lpwstr/>
  </property>
  <property fmtid="{D5CDD505-2E9C-101B-9397-08002B2CF9AE}" pid="12" name="_Emoji">
    <vt:lpwstr/>
  </property>
  <property fmtid="{D5CDD505-2E9C-101B-9397-08002B2CF9AE}" pid="13" name="_ColorTag">
    <vt:lpwstr/>
  </property>
</Properties>
</file>